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74" w:rsidRDefault="00E50F74" w:rsidP="00E50F74">
      <w:pPr>
        <w:spacing w:after="0" w:line="360" w:lineRule="auto"/>
        <w:ind w:hanging="1134"/>
      </w:pPr>
    </w:p>
    <w:p w:rsidR="00E50F74" w:rsidRDefault="00E50F74" w:rsidP="00E50F74">
      <w:pPr>
        <w:spacing w:after="0" w:line="360" w:lineRule="auto"/>
      </w:pPr>
      <w:r>
        <w:rPr>
          <w:rFonts w:ascii="Trebuchet MS" w:eastAsia="Times New Roman" w:hAnsi="Trebuchet MS" w:cs="Times New Roman"/>
          <w:sz w:val="20"/>
          <w:szCs w:val="20"/>
          <w:lang w:eastAsia="sl-SI"/>
        </w:rPr>
        <w:t xml:space="preserve">Spoštovani minister </w:t>
      </w:r>
      <w:r w:rsidR="00656B99">
        <w:rPr>
          <w:rFonts w:ascii="Trebuchet MS" w:eastAsia="Times New Roman" w:hAnsi="Trebuchet MS" w:cs="Times New Roman"/>
          <w:sz w:val="20"/>
          <w:szCs w:val="20"/>
          <w:lang w:eastAsia="sl-SI"/>
        </w:rPr>
        <w:t xml:space="preserve">Goran </w:t>
      </w:r>
      <w:bookmarkStart w:id="0" w:name="_GoBack"/>
      <w:bookmarkEnd w:id="0"/>
      <w:r>
        <w:rPr>
          <w:rFonts w:ascii="Trebuchet MS" w:eastAsia="Times New Roman" w:hAnsi="Trebuchet MS" w:cs="Times New Roman"/>
          <w:sz w:val="20"/>
          <w:szCs w:val="20"/>
          <w:lang w:eastAsia="sl-SI"/>
        </w:rPr>
        <w:t>Klemenčič!</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Default="00E50F74" w:rsidP="00E50F74">
      <w:pPr>
        <w:spacing w:after="0" w:line="360" w:lineRule="auto"/>
      </w:pPr>
      <w:r>
        <w:rPr>
          <w:rFonts w:ascii="Trebuchet MS" w:eastAsia="Times New Roman" w:hAnsi="Trebuchet MS" w:cs="Times New Roman"/>
          <w:sz w:val="20"/>
          <w:szCs w:val="20"/>
          <w:lang w:eastAsia="sl-SI"/>
        </w:rPr>
        <w:t>Aktualni postopki, ki jih je tožilstvo zoper štiri novinarje sprožilo na pobudo Slovenske obveščevalno-varnostne agencije, zaradi domnevne objave tajnih podatkov, so pokazali na neustreznost slovenske kazenske zakonodaje, na tem področju. Društvo novinarjev Slovenije tako ocenjuje, da obstoječi 260. člen Kazenskega zakonika RS pregloboko posega v svobodo izražanja, zato predlaga njegovo spremembo. Kazensko preganjanje novinarjev zaradi objave informacij v javnem interesu ima na novinarje in medije srhljiv učinek, vodi v samocenzuro in posledično novinarjem preprečuje učinkovito opravljanje funkcije nadzora oblasti. S predlagano spremembo bi slovensko kazensko zakonodajo le uskladili z uveljavljenimi standardi varovanja svobode izražanja, ki izhajajo iz sodne prakse Ustavnega sodišča RS in Evropskega sodišča za človekove pravice (ESČP).</w:t>
      </w:r>
    </w:p>
    <w:p w:rsidR="00E50F74" w:rsidRDefault="00E50F74" w:rsidP="00E50F74">
      <w:pPr>
        <w:spacing w:after="0" w:line="360" w:lineRule="auto"/>
      </w:pPr>
    </w:p>
    <w:p w:rsidR="00E50F74" w:rsidRDefault="00E50F74" w:rsidP="00E50F74">
      <w:pPr>
        <w:spacing w:after="0" w:line="360" w:lineRule="auto"/>
      </w:pPr>
      <w:r>
        <w:rPr>
          <w:rFonts w:ascii="Trebuchet MS" w:eastAsia="Times New Roman" w:hAnsi="Trebuchet MS" w:cs="Times New Roman"/>
          <w:sz w:val="20"/>
          <w:szCs w:val="20"/>
          <w:lang w:eastAsia="sl-SI"/>
        </w:rPr>
        <w:t xml:space="preserve">O dopustnosti objave zaupnih podatkov je Ustavno sodišče odločalo v zadevi </w:t>
      </w:r>
      <w:r>
        <w:rPr>
          <w:rFonts w:ascii="Trebuchet MS" w:eastAsia="Times New Roman" w:hAnsi="Trebuchet MS" w:cs="Times New Roman"/>
          <w:sz w:val="20"/>
          <w:szCs w:val="20"/>
          <w:u w:val="single"/>
          <w:lang w:eastAsia="sl-SI"/>
        </w:rPr>
        <w:t>Up-570/09</w:t>
      </w:r>
      <w:r>
        <w:rPr>
          <w:rStyle w:val="FootnoteAnchor"/>
          <w:rFonts w:ascii="Trebuchet MS" w:eastAsia="Times New Roman" w:hAnsi="Trebuchet MS" w:cs="Times New Roman"/>
          <w:sz w:val="20"/>
          <w:szCs w:val="20"/>
          <w:u w:val="single"/>
          <w:lang w:eastAsia="sl-SI"/>
        </w:rPr>
        <w:footnoteReference w:id="1"/>
      </w:r>
      <w:r>
        <w:rPr>
          <w:rFonts w:ascii="Trebuchet MS" w:eastAsia="Times New Roman" w:hAnsi="Trebuchet MS" w:cs="Times New Roman"/>
          <w:sz w:val="20"/>
          <w:szCs w:val="20"/>
          <w:u w:val="single"/>
          <w:lang w:eastAsia="sl-SI"/>
        </w:rPr>
        <w:t xml:space="preserve">, </w:t>
      </w:r>
      <w:r>
        <w:rPr>
          <w:rFonts w:ascii="Trebuchet MS" w:eastAsia="Times New Roman" w:hAnsi="Trebuchet MS" w:cs="Times New Roman"/>
          <w:sz w:val="20"/>
          <w:szCs w:val="20"/>
          <w:lang w:eastAsia="sl-SI"/>
        </w:rPr>
        <w:t xml:space="preserve">kjer je šlo za objavo o bančnih pologih tožnika z navedbo njegovega polnega imena in priimka, saj gre za podatke, ki so zaupne narave in jih je novinar črpal neposredno iz dokumenta, ki je v celoti označen kot poslovna skrivnost (tj. Revizorjevo poročilo o izrednem pregledu poslovanja v podružnici Koroška), poseben režim njihovega varstva pa predvideva tudi Zakon o varstvu osebnih podatkov. Ustavno sodišče je presodilo, da je v obravnavani zadevi odločilna prav okoliščina, da je imel tožnik kot prepoznaven koroški podjetnik status relativno javne osebe in je zato podan večji interes javnosti, da izve za dogodke, povezane z njegovim podjetniškim udejstvovanjem, mediji pa imajo pravico javnost o tem obveščati. Ustavno sodišče ob tem pripominja, da pravica do svobode izražanja lahko pretehta tudi v določenih primerih, ko gre za razširjanje nezakonito pridobljene informacije. Ustavno sodišče je presodilo, da je redno sodišče nedopustno poseglo v ustavno varovano jedro pravice pritožnikov do svobode izražanja, saj je onemogočilo posredovanje »mnenja (in dejstev, ki tako mnenje podpirajo) o obstoju prikritih interesnih gospodarskih omrežji, ki z neformalno močjo lahko vplivajo na ravnanja in poslovanje bank.« </w:t>
      </w:r>
    </w:p>
    <w:p w:rsidR="00E50F74" w:rsidRDefault="00E50F74" w:rsidP="00E50F74">
      <w:pPr>
        <w:spacing w:after="0" w:line="360" w:lineRule="auto"/>
      </w:pPr>
    </w:p>
    <w:p w:rsidR="00E50F74" w:rsidRDefault="00E50F74" w:rsidP="00E50F74">
      <w:pPr>
        <w:spacing w:after="0" w:line="360" w:lineRule="auto"/>
      </w:pPr>
      <w:r>
        <w:rPr>
          <w:rFonts w:ascii="Trebuchet MS" w:eastAsia="Times New Roman" w:hAnsi="Trebuchet MS" w:cs="Times New Roman"/>
          <w:sz w:val="20"/>
          <w:szCs w:val="20"/>
          <w:lang w:eastAsia="sl-SI"/>
        </w:rPr>
        <w:t>ESČP je vzpostavilo sledeči temeljni princip</w:t>
      </w:r>
      <w:r>
        <w:rPr>
          <w:rStyle w:val="FootnoteAnchor"/>
          <w:rFonts w:ascii="Trebuchet MS" w:eastAsia="Times New Roman" w:hAnsi="Trebuchet MS" w:cs="Times New Roman"/>
          <w:sz w:val="20"/>
          <w:szCs w:val="20"/>
          <w:lang w:eastAsia="sl-SI"/>
        </w:rPr>
        <w:footnoteReference w:id="2"/>
      </w:r>
      <w:r>
        <w:rPr>
          <w:rFonts w:ascii="Trebuchet MS" w:eastAsia="Times New Roman" w:hAnsi="Trebuchet MS" w:cs="Times New Roman"/>
          <w:sz w:val="20"/>
          <w:szCs w:val="20"/>
          <w:lang w:eastAsia="sl-SI"/>
        </w:rPr>
        <w:t>:</w:t>
      </w:r>
    </w:p>
    <w:p w:rsidR="00E50F74" w:rsidRDefault="00E50F74" w:rsidP="00E50F74">
      <w:pPr>
        <w:spacing w:after="0" w:line="360" w:lineRule="auto"/>
      </w:pPr>
      <w:r>
        <w:rPr>
          <w:rFonts w:ascii="Trebuchet MS" w:eastAsia="Times New Roman" w:hAnsi="Trebuchet MS" w:cs="Times New Roman"/>
          <w:sz w:val="20"/>
          <w:szCs w:val="20"/>
          <w:lang w:eastAsia="sl-SI"/>
        </w:rPr>
        <w:t xml:space="preserve">»Svoboda govora je še bolj pomembna v okoliščinah, v katerih se aktivnosti in odločitve države izognejo demokratični ali sodni preiskavi zaradi svoje zaupne ali tajne narave. Obsodba novinarja za  razkritje informacij, ki so zaupne ali tajne lahko tiste, ki delajo v medijih, odvrne od informiranja javnosti o zadevah v javnem interesu. Kot rezultat mediji ne morejo več opravljati svoje bistvene vloge »psov </w:t>
      </w:r>
      <w:r>
        <w:rPr>
          <w:rFonts w:ascii="Trebuchet MS" w:eastAsia="Times New Roman" w:hAnsi="Trebuchet MS" w:cs="Times New Roman"/>
          <w:sz w:val="20"/>
          <w:szCs w:val="20"/>
          <w:lang w:eastAsia="sl-SI"/>
        </w:rPr>
        <w:lastRenderedPageBreak/>
        <w:t xml:space="preserve">čuvajev«, slabo lahko vpliva tudi na sposobnost medijev, da zagotavljajo točne in verodostojne informacije (...)« </w:t>
      </w:r>
    </w:p>
    <w:p w:rsidR="00EB54B4" w:rsidRDefault="00EB54B4" w:rsidP="00E50F74">
      <w:pPr>
        <w:spacing w:after="0" w:line="360" w:lineRule="auto"/>
        <w:rPr>
          <w:rFonts w:ascii="Trebuchet MS" w:eastAsia="Times New Roman" w:hAnsi="Trebuchet MS" w:cs="Times New Roman"/>
          <w:b/>
          <w:sz w:val="20"/>
          <w:szCs w:val="20"/>
          <w:lang w:eastAsia="sl-SI"/>
        </w:rPr>
      </w:pPr>
    </w:p>
    <w:p w:rsidR="00E50F74" w:rsidRDefault="00E50F74" w:rsidP="00E50F74">
      <w:pPr>
        <w:spacing w:after="0" w:line="360" w:lineRule="auto"/>
      </w:pPr>
      <w:r>
        <w:rPr>
          <w:rFonts w:ascii="Trebuchet MS" w:eastAsia="Times New Roman" w:hAnsi="Trebuchet MS" w:cs="Times New Roman"/>
          <w:b/>
          <w:sz w:val="20"/>
          <w:szCs w:val="20"/>
          <w:lang w:eastAsia="sl-SI"/>
        </w:rPr>
        <w:t>Obrazložitev predloga:</w:t>
      </w:r>
    </w:p>
    <w:p w:rsidR="00E50F74" w:rsidRDefault="00E50F74" w:rsidP="00E50F74">
      <w:pPr>
        <w:spacing w:after="0" w:line="360" w:lineRule="auto"/>
        <w:rPr>
          <w:rFonts w:ascii="Trebuchet MS" w:eastAsia="Times New Roman" w:hAnsi="Trebuchet MS" w:cs="Times New Roman"/>
          <w:b/>
          <w:sz w:val="20"/>
          <w:szCs w:val="20"/>
          <w:lang w:eastAsia="sl-SI"/>
        </w:rPr>
      </w:pP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 xml:space="preserve">Pri razkritju zaupnih podatkov gre za kolizijo dveh pravic oziroma interesov. Na eni strani je pravica do svobode izražanja oziroma pravica javnosti do obveščenosti kot njen sestavni del, na drugi strani pa je javni interes, ki se kaže v tem, da brez varovanja zaupnih podatkov državni organi svojega dela, ki naj bi ga opravljali v javnem interesu, ne morejo kakovostno opravljati. </w:t>
      </w:r>
    </w:p>
    <w:p w:rsidR="00E50F74" w:rsidRDefault="00E50F74" w:rsidP="00E50F74">
      <w:pPr>
        <w:spacing w:after="0" w:line="360" w:lineRule="auto"/>
      </w:pPr>
      <w:r>
        <w:rPr>
          <w:rFonts w:ascii="Trebuchet MS" w:eastAsia="Times New Roman" w:hAnsi="Trebuchet MS" w:cs="Times New Roman"/>
          <w:sz w:val="20"/>
          <w:szCs w:val="20"/>
          <w:lang w:eastAsia="sl-SI"/>
        </w:rPr>
        <w:br/>
        <w:t xml:space="preserve">Za tak primer kolizije med svobodo izražanja in javnim interesom bi šlo, če bi novinar v svojem prispevku v medijih objavil tajne podatke obveščevalne službe. Na eni strani bi novinar izvrševal svojo pravico do svobode izražanja, v sklop katere spada tudi pravica javnosti do obveščenosti, na drugi strani pa bi potencialno ogrožal javni interes, ki se kaže v nujnosti zagotavljanja kakovostnega dela obveščevalnih služb, ki brez varstva njihovih zaupnih podatkov ni mogoče. Odločitev o tem, ali je novinarjevo ravnanje v opisanem primeru protipravno, kar je pogoj za obsodbo v kazenskem postopku, je odvisna od tehtanja obeh navedenih pravic in interesov, torej pravice do svobode izražanja na eni strani in javnega interesa po ohranitvi zaupnosti tajnih podatkov na drugi strani. To tehtanje je treba opraviti na podlagi vseh okoliščin primera kot celote in na podlagi standardov, ki so nastali v sodni praksi Ustavnega sodišča RS in Evropskega sodišča za človekove pravice. </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Default="00E50F74" w:rsidP="00E50F74">
      <w:pPr>
        <w:spacing w:after="0" w:line="360" w:lineRule="auto"/>
      </w:pPr>
      <w:r>
        <w:rPr>
          <w:rFonts w:ascii="Trebuchet MS" w:eastAsia="Times New Roman" w:hAnsi="Trebuchet MS" w:cs="Times New Roman"/>
          <w:sz w:val="20"/>
          <w:szCs w:val="20"/>
          <w:lang w:eastAsia="sl-SI"/>
        </w:rPr>
        <w:t xml:space="preserve">Evropska konvencija o človekovih pravicah (EKČP) šteje sankcioniranje razkritja zaupnih informacij pod določenimi pogoji za dopustno obliko omejitve svobode izražanja. V drugem odstavku 10. člena EKČP je tako določeno, da je izvrševanje pravice do svobode izražanja lahko podrejeno omejitvam ali kaznim, če je to nujno v demokratični družbi zaradi preprečitve razkritja zaupnih informacij. Kdaj je nujno potrebno v demokratični družbi, da se tisti, ki razkrije zaupne informacije, kaznuje oziroma obsodi v kazenskem postopku, pa je treba oceniti na podlagi tehtanja pomembnosti svobode izražanja oziroma pravice javnosti do obveščenosti na eni strani in javnega interesa po ohranitvi zaupnosti tajnih podatkov na drugi strani na podlagi vseh okoliščin primera kot celote. </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Pr="00EB54B4" w:rsidRDefault="00E50F74" w:rsidP="00E50F74">
      <w:pPr>
        <w:spacing w:after="0" w:line="360" w:lineRule="auto"/>
      </w:pPr>
      <w:r>
        <w:rPr>
          <w:rFonts w:ascii="Trebuchet MS" w:eastAsia="Times New Roman" w:hAnsi="Trebuchet MS" w:cs="Times New Roman"/>
          <w:sz w:val="20"/>
          <w:szCs w:val="20"/>
          <w:lang w:eastAsia="sl-SI"/>
        </w:rPr>
        <w:t>Evropsko sodišče za človekove pravice je v primeru Martin in drugi proti Franciji</w:t>
      </w:r>
      <w:r>
        <w:rPr>
          <w:rStyle w:val="FootnoteAnchor"/>
          <w:rFonts w:ascii="Trebuchet MS" w:eastAsia="Times New Roman" w:hAnsi="Trebuchet MS" w:cs="Times New Roman"/>
          <w:sz w:val="20"/>
          <w:szCs w:val="20"/>
          <w:lang w:eastAsia="sl-SI"/>
        </w:rPr>
        <w:footnoteReference w:id="3"/>
      </w:r>
      <w:r>
        <w:rPr>
          <w:rFonts w:ascii="Trebuchet MS" w:eastAsia="Times New Roman" w:hAnsi="Trebuchet MS" w:cs="Times New Roman"/>
          <w:sz w:val="20"/>
          <w:szCs w:val="20"/>
          <w:lang w:eastAsia="sl-SI"/>
        </w:rPr>
        <w:t xml:space="preserve">, ki se nanaša na objavo članka o upravljanju ene od regij v Franciji, v katerem je novinar objavil osnutek poročila, ki je bil še zaupen, o vlogi  preiskovalnega novinarstva zapisalo: </w:t>
      </w:r>
    </w:p>
    <w:p w:rsidR="00EB54B4" w:rsidRDefault="00EB54B4" w:rsidP="00E50F74">
      <w:pPr>
        <w:spacing w:after="0" w:line="360" w:lineRule="auto"/>
      </w:pP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»Članek je vseboval predvsem informacije o ravnanju lokalnih politikov in uradnikom z javnim denarjem (…) To je nedvomno tema, ki je v splošnem interesu lokalne skupnosti(…), ki je imela pravico, da je obveščena (…)  Vloga preiskovalnega novinarstva je natančno to, da javnost obvesti in opozori na nezaželen pojav v družbi, takoj, ko prejme relevantno informacijo (…)«</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Default="00E50F74" w:rsidP="00EB54B4">
      <w:pPr>
        <w:spacing w:after="0" w:line="360" w:lineRule="auto"/>
        <w:rPr>
          <w:rStyle w:val="st"/>
          <w:rFonts w:ascii="Trebuchet MS" w:hAnsi="Trebuchet MS"/>
          <w:sz w:val="20"/>
          <w:szCs w:val="20"/>
        </w:rPr>
      </w:pPr>
      <w:r w:rsidRPr="00EB54B4">
        <w:rPr>
          <w:rFonts w:ascii="Trebuchet MS" w:eastAsia="Times New Roman" w:hAnsi="Trebuchet MS" w:cs="Times New Roman"/>
          <w:sz w:val="20"/>
          <w:szCs w:val="20"/>
          <w:lang w:eastAsia="sl-SI"/>
        </w:rPr>
        <w:t xml:space="preserve">Leta 2004 so Združeni narodi, </w:t>
      </w:r>
      <w:r w:rsidR="00EB54B4">
        <w:rPr>
          <w:rStyle w:val="st"/>
          <w:rFonts w:ascii="Trebuchet MS" w:hAnsi="Trebuchet MS"/>
          <w:sz w:val="20"/>
          <w:szCs w:val="20"/>
        </w:rPr>
        <w:t xml:space="preserve">Organizacija </w:t>
      </w:r>
      <w:r w:rsidRPr="00EB54B4">
        <w:rPr>
          <w:rStyle w:val="st"/>
          <w:rFonts w:ascii="Trebuchet MS" w:hAnsi="Trebuchet MS"/>
          <w:sz w:val="20"/>
          <w:szCs w:val="20"/>
        </w:rPr>
        <w:t xml:space="preserve">za varnost in sodelovanje v Evropi, Organizacija Ameriških držav in </w:t>
      </w:r>
      <w:r w:rsidRPr="00EB54B4">
        <w:rPr>
          <w:rStyle w:val="Emphasis"/>
          <w:rFonts w:ascii="Trebuchet MS" w:hAnsi="Trebuchet MS"/>
          <w:i w:val="0"/>
          <w:sz w:val="20"/>
          <w:szCs w:val="20"/>
        </w:rPr>
        <w:t>Afriška komisija za človekove pravice</w:t>
      </w:r>
      <w:r w:rsidRPr="00EB54B4">
        <w:rPr>
          <w:rStyle w:val="st"/>
          <w:rFonts w:ascii="Trebuchet MS" w:hAnsi="Trebuchet MS"/>
          <w:sz w:val="20"/>
          <w:szCs w:val="20"/>
        </w:rPr>
        <w:t xml:space="preserve"> in pravice ljudstev podpisali skupno deklaracijo o zakonodaji, ki </w:t>
      </w:r>
      <w:r w:rsidR="00EB54B4">
        <w:rPr>
          <w:rStyle w:val="st"/>
          <w:rFonts w:ascii="Trebuchet MS" w:hAnsi="Trebuchet MS"/>
          <w:sz w:val="20"/>
          <w:szCs w:val="20"/>
        </w:rPr>
        <w:t>varuje državno varnost</w:t>
      </w:r>
      <w:r w:rsidRPr="00EB54B4">
        <w:rPr>
          <w:rStyle w:val="st"/>
          <w:rFonts w:ascii="Trebuchet MS" w:hAnsi="Trebuchet MS"/>
          <w:sz w:val="20"/>
          <w:szCs w:val="20"/>
        </w:rPr>
        <w:t xml:space="preserve"> zapisali: »novinarji in predstavniki civilne družbe ne bi smeli biti nikoli odgovorni za objavo ali distribucijo tajnih informacij, ne glede </w:t>
      </w:r>
      <w:r w:rsidR="00EB54B4">
        <w:rPr>
          <w:rStyle w:val="st"/>
          <w:rFonts w:ascii="Trebuchet MS" w:hAnsi="Trebuchet MS"/>
          <w:sz w:val="20"/>
          <w:szCs w:val="20"/>
        </w:rPr>
        <w:t xml:space="preserve">na to </w:t>
      </w:r>
      <w:r w:rsidRPr="00EB54B4">
        <w:rPr>
          <w:rStyle w:val="st"/>
          <w:rFonts w:ascii="Trebuchet MS" w:hAnsi="Trebuchet MS"/>
          <w:sz w:val="20"/>
          <w:szCs w:val="20"/>
        </w:rPr>
        <w:t xml:space="preserve">od kod so </w:t>
      </w:r>
      <w:r w:rsidR="00EB54B4">
        <w:rPr>
          <w:rStyle w:val="st"/>
          <w:rFonts w:ascii="Trebuchet MS" w:hAnsi="Trebuchet MS"/>
          <w:sz w:val="20"/>
          <w:szCs w:val="20"/>
        </w:rPr>
        <w:t>te informacije »odtekle«, razen če so za pridobitev inf</w:t>
      </w:r>
      <w:r w:rsidRPr="00EB54B4">
        <w:rPr>
          <w:rStyle w:val="st"/>
          <w:rFonts w:ascii="Trebuchet MS" w:hAnsi="Trebuchet MS"/>
          <w:sz w:val="20"/>
          <w:szCs w:val="20"/>
        </w:rPr>
        <w:t>o</w:t>
      </w:r>
      <w:r w:rsidR="00EB54B4">
        <w:rPr>
          <w:rStyle w:val="st"/>
          <w:rFonts w:ascii="Trebuchet MS" w:hAnsi="Trebuchet MS"/>
          <w:sz w:val="20"/>
          <w:szCs w:val="20"/>
        </w:rPr>
        <w:t>r</w:t>
      </w:r>
      <w:r w:rsidRPr="00EB54B4">
        <w:rPr>
          <w:rStyle w:val="st"/>
          <w:rFonts w:ascii="Trebuchet MS" w:hAnsi="Trebuchet MS"/>
          <w:sz w:val="20"/>
          <w:szCs w:val="20"/>
        </w:rPr>
        <w:t>macij zagrešili goljufijo ali drugo kaznivo dejanje.«</w:t>
      </w:r>
      <w:r w:rsidRPr="00EB54B4">
        <w:rPr>
          <w:rStyle w:val="FootnoteReference"/>
          <w:rFonts w:ascii="Trebuchet MS" w:hAnsi="Trebuchet MS"/>
          <w:sz w:val="20"/>
          <w:szCs w:val="20"/>
        </w:rPr>
        <w:footnoteReference w:id="4"/>
      </w:r>
    </w:p>
    <w:p w:rsidR="00EB54B4" w:rsidRPr="00EB54B4" w:rsidRDefault="00EB54B4" w:rsidP="00EB54B4">
      <w:pPr>
        <w:spacing w:after="0" w:line="360" w:lineRule="auto"/>
        <w:rPr>
          <w:rStyle w:val="st"/>
          <w:rFonts w:ascii="Trebuchet MS" w:hAnsi="Trebuchet MS"/>
          <w:sz w:val="20"/>
          <w:szCs w:val="20"/>
        </w:rPr>
      </w:pPr>
    </w:p>
    <w:p w:rsidR="00E50F74" w:rsidRPr="00EB54B4" w:rsidRDefault="00E50F74" w:rsidP="00EB54B4">
      <w:pPr>
        <w:suppressAutoHyphens w:val="0"/>
        <w:spacing w:after="0" w:line="360" w:lineRule="auto"/>
        <w:rPr>
          <w:rFonts w:ascii="Trebuchet MS" w:eastAsia="Times New Roman" w:hAnsi="Trebuchet MS" w:cs="Times New Roman"/>
          <w:sz w:val="20"/>
          <w:szCs w:val="20"/>
          <w:lang w:eastAsia="sl-SI"/>
        </w:rPr>
      </w:pPr>
      <w:r w:rsidRPr="00EB54B4">
        <w:rPr>
          <w:rFonts w:ascii="Trebuchet MS" w:eastAsia="Times New Roman" w:hAnsi="Trebuchet MS" w:cs="Times New Roman"/>
          <w:sz w:val="20"/>
          <w:szCs w:val="20"/>
          <w:lang w:eastAsia="sl-SI"/>
        </w:rPr>
        <w:t xml:space="preserve">V Tshwane Principles on National Security and the Right to Information (2013), </w:t>
      </w:r>
      <w:r w:rsidR="00D915D9">
        <w:rPr>
          <w:rFonts w:ascii="Trebuchet MS" w:eastAsia="Times New Roman" w:hAnsi="Trebuchet MS" w:cs="Times New Roman"/>
          <w:sz w:val="20"/>
          <w:szCs w:val="20"/>
          <w:lang w:eastAsia="sl-SI"/>
        </w:rPr>
        <w:t>ki je mednarodni dokument</w:t>
      </w:r>
      <w:r w:rsidRPr="00EB54B4">
        <w:rPr>
          <w:rFonts w:ascii="Trebuchet MS" w:eastAsia="Times New Roman" w:hAnsi="Trebuchet MS" w:cs="Times New Roman"/>
          <w:sz w:val="20"/>
          <w:szCs w:val="20"/>
          <w:lang w:eastAsia="sl-SI"/>
        </w:rPr>
        <w:t xml:space="preserve"> civilne družbe se Princip 47 glasi: Novinarji  in drugi, ki ne delajo za vlado</w:t>
      </w:r>
      <w:r w:rsidR="00EB54B4">
        <w:rPr>
          <w:rFonts w:ascii="Trebuchet MS" w:eastAsia="Times New Roman" w:hAnsi="Trebuchet MS" w:cs="Times New Roman"/>
          <w:sz w:val="20"/>
          <w:szCs w:val="20"/>
          <w:lang w:eastAsia="sl-SI"/>
        </w:rPr>
        <w:t>,</w:t>
      </w:r>
      <w:r w:rsidRPr="00EB54B4">
        <w:rPr>
          <w:rFonts w:ascii="Trebuchet MS" w:eastAsia="Times New Roman" w:hAnsi="Trebuchet MS" w:cs="Times New Roman"/>
          <w:sz w:val="20"/>
          <w:szCs w:val="20"/>
          <w:lang w:eastAsia="sl-SI"/>
        </w:rPr>
        <w:t xml:space="preserve"> ne bi smeli biti preganjani zaradi pridobitve, posedovanja ali razkritja zaupnih podatkov javnosti.«</w:t>
      </w:r>
      <w:r w:rsidRPr="00EB54B4">
        <w:rPr>
          <w:rStyle w:val="FootnoteReference"/>
          <w:rFonts w:ascii="Trebuchet MS" w:eastAsia="Times New Roman" w:hAnsi="Trebuchet MS" w:cs="Times New Roman"/>
          <w:sz w:val="20"/>
          <w:szCs w:val="20"/>
          <w:lang w:eastAsia="sl-SI"/>
        </w:rPr>
        <w:footnoteReference w:id="5"/>
      </w:r>
    </w:p>
    <w:p w:rsidR="00E50F74" w:rsidRDefault="00E50F74" w:rsidP="00E50F74">
      <w:pPr>
        <w:spacing w:after="0" w:line="360" w:lineRule="auto"/>
      </w:pPr>
    </w:p>
    <w:p w:rsidR="00EB54B4" w:rsidRDefault="00EB54B4" w:rsidP="00EB54B4">
      <w:pPr>
        <w:spacing w:after="0" w:line="360" w:lineRule="auto"/>
      </w:pPr>
      <w:r>
        <w:rPr>
          <w:rFonts w:ascii="Trebuchet MS" w:eastAsia="Times New Roman" w:hAnsi="Trebuchet MS" w:cs="Times New Roman"/>
          <w:sz w:val="20"/>
          <w:szCs w:val="20"/>
          <w:lang w:eastAsia="sl-SI"/>
        </w:rPr>
        <w:t xml:space="preserve">Pri spremembah 260. člena Kazenskega zakonika je treba upoštevati zgoraj navedeno, torej da se lahko obsodilna sodba izda le v primeru, če javni interes po varstvu zaupnih informacij pretehta nad pravico do svobode izražanja oziroma v njenem okviru pravico javnosti do obveščenosti (ESČP v zvezi s tem govori o »overriding public interest«).   </w:t>
      </w:r>
    </w:p>
    <w:p w:rsidR="00EB54B4" w:rsidRDefault="00EB54B4" w:rsidP="00E50F74">
      <w:pPr>
        <w:spacing w:after="0" w:line="360" w:lineRule="auto"/>
      </w:pPr>
    </w:p>
    <w:p w:rsidR="00E50F74" w:rsidRDefault="00E50F74" w:rsidP="00E50F74">
      <w:pPr>
        <w:spacing w:after="0" w:line="360" w:lineRule="auto"/>
        <w:rPr>
          <w:rFonts w:ascii="Trebuchet MS" w:eastAsia="Times New Roman" w:hAnsi="Trebuchet MS" w:cs="Times New Roman"/>
          <w:b/>
          <w:sz w:val="20"/>
          <w:szCs w:val="20"/>
          <w:lang w:eastAsia="sl-SI"/>
        </w:rPr>
      </w:pPr>
      <w:r>
        <w:rPr>
          <w:rFonts w:ascii="Trebuchet MS" w:eastAsia="Times New Roman" w:hAnsi="Trebuchet MS" w:cs="Times New Roman"/>
          <w:b/>
          <w:sz w:val="20"/>
          <w:szCs w:val="20"/>
          <w:lang w:eastAsia="sl-SI"/>
        </w:rPr>
        <w:t>Predlog spremembe 260. člena:</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 xml:space="preserve">Člen 260 KZ RS se sedaj glasi: </w:t>
      </w:r>
    </w:p>
    <w:p w:rsidR="00E50F74" w:rsidRDefault="00E50F74" w:rsidP="00E50F74">
      <w:pPr>
        <w:spacing w:after="0" w:line="360" w:lineRule="auto"/>
        <w:jc w:val="center"/>
        <w:rPr>
          <w:rFonts w:ascii="Trebuchet MS" w:eastAsia="Times New Roman" w:hAnsi="Trebuchet MS" w:cs="Times New Roman"/>
          <w:sz w:val="20"/>
          <w:szCs w:val="20"/>
          <w:lang w:eastAsia="sl-SI"/>
        </w:rPr>
      </w:pPr>
      <w:r>
        <w:rPr>
          <w:rFonts w:ascii="Trebuchet MS" w:eastAsia="Times New Roman" w:hAnsi="Trebuchet MS" w:cs="Times New Roman"/>
          <w:b/>
          <w:bCs/>
          <w:color w:val="2F2F2F"/>
          <w:sz w:val="20"/>
          <w:szCs w:val="20"/>
          <w:lang w:eastAsia="sl-SI"/>
        </w:rPr>
        <w:t>Izdaja tajnih podatkov</w:t>
      </w:r>
      <w:r>
        <w:rPr>
          <w:rFonts w:ascii="Trebuchet MS" w:eastAsia="Times New Roman" w:hAnsi="Trebuchet MS" w:cs="Times New Roman"/>
          <w:sz w:val="20"/>
          <w:szCs w:val="20"/>
          <w:lang w:eastAsia="sl-SI"/>
        </w:rPr>
        <w:t xml:space="preserve"> </w:t>
      </w:r>
    </w:p>
    <w:p w:rsidR="00E50F74" w:rsidRDefault="00E50F74" w:rsidP="00E50F74">
      <w:pPr>
        <w:spacing w:after="0" w:line="360" w:lineRule="auto"/>
        <w:jc w:val="center"/>
        <w:rPr>
          <w:rFonts w:ascii="Trebuchet MS" w:eastAsia="Times New Roman" w:hAnsi="Trebuchet MS" w:cs="Times New Roman"/>
          <w:sz w:val="20"/>
          <w:szCs w:val="20"/>
          <w:lang w:eastAsia="sl-SI"/>
        </w:rPr>
      </w:pPr>
      <w:r>
        <w:rPr>
          <w:rFonts w:ascii="Trebuchet MS" w:eastAsia="Times New Roman" w:hAnsi="Trebuchet MS" w:cs="Times New Roman"/>
          <w:b/>
          <w:bCs/>
          <w:color w:val="2F2F2F"/>
          <w:sz w:val="20"/>
          <w:szCs w:val="20"/>
          <w:lang w:eastAsia="sl-SI"/>
        </w:rPr>
        <w:t>260. člen</w:t>
      </w: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color w:val="2F2F2F"/>
          <w:sz w:val="20"/>
          <w:szCs w:val="20"/>
          <w:lang w:eastAsia="sl-SI"/>
        </w:rPr>
        <w:t>(1) Uradna oseba ali druga oseba, ki v nasprotju s svojimi dolžnostmi varovanja tajnih podatkov sporoči ali izroči komu tajne podatke ali mu kako drugače omogoči, da pride do njih, ali zbira take podatke, zato da jih izroči nepoklicani osebi, se kaznuje z zaporom do treh let.</w:t>
      </w:r>
      <w:r>
        <w:rPr>
          <w:rFonts w:ascii="Trebuchet MS" w:eastAsia="Times New Roman" w:hAnsi="Trebuchet MS" w:cs="Times New Roman"/>
          <w:sz w:val="20"/>
          <w:szCs w:val="20"/>
          <w:lang w:eastAsia="sl-SI"/>
        </w:rPr>
        <w:t xml:space="preserve"> </w:t>
      </w: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color w:val="2F2F2F"/>
          <w:sz w:val="20"/>
          <w:szCs w:val="20"/>
          <w:lang w:eastAsia="sl-SI"/>
        </w:rPr>
        <w:t>(2) Enako se kaznuje, kdor protipravno pride do tajnih podatkov, da bi jih neupravičeno uporabil, kakor tudi, kdor take podatke brez dovoljenja javno objavi.</w:t>
      </w:r>
      <w:r>
        <w:rPr>
          <w:rFonts w:ascii="Trebuchet MS" w:eastAsia="Times New Roman" w:hAnsi="Trebuchet MS" w:cs="Times New Roman"/>
          <w:sz w:val="20"/>
          <w:szCs w:val="20"/>
          <w:lang w:eastAsia="sl-SI"/>
        </w:rPr>
        <w:t xml:space="preserve"> </w:t>
      </w: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color w:val="2F2F2F"/>
          <w:sz w:val="20"/>
          <w:szCs w:val="20"/>
          <w:lang w:eastAsia="sl-SI"/>
        </w:rPr>
        <w:t>(3) Če je dejanje iz prvega odstavka tega člena storjeno iz koristoljubnosti ali zaradi objave ali uporabe podatkov v tujini, se storilec kaznuje z zaporom do petih let.</w:t>
      </w:r>
      <w:r>
        <w:rPr>
          <w:rFonts w:ascii="Trebuchet MS" w:eastAsia="Times New Roman" w:hAnsi="Trebuchet MS" w:cs="Times New Roman"/>
          <w:sz w:val="20"/>
          <w:szCs w:val="20"/>
          <w:lang w:eastAsia="sl-SI"/>
        </w:rPr>
        <w:t xml:space="preserve"> </w:t>
      </w: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color w:val="2F2F2F"/>
          <w:sz w:val="20"/>
          <w:szCs w:val="20"/>
          <w:lang w:eastAsia="sl-SI"/>
        </w:rPr>
        <w:t>(4) Če je dejanje iz prvega odstavka tega člena storjeno iz malomarnosti, se storilec kaznuje z zaporom do enega leta.</w:t>
      </w:r>
      <w:r>
        <w:rPr>
          <w:rFonts w:ascii="Trebuchet MS" w:eastAsia="Times New Roman" w:hAnsi="Trebuchet MS" w:cs="Times New Roman"/>
          <w:sz w:val="20"/>
          <w:szCs w:val="20"/>
          <w:lang w:eastAsia="sl-SI"/>
        </w:rPr>
        <w:t xml:space="preserve"> </w:t>
      </w:r>
    </w:p>
    <w:p w:rsidR="00E50F74" w:rsidRDefault="00E50F74" w:rsidP="00E50F74">
      <w:pPr>
        <w:spacing w:after="0" w:line="360" w:lineRule="auto"/>
        <w:rPr>
          <w:rFonts w:ascii="Trebuchet MS" w:eastAsia="Times New Roman" w:hAnsi="Trebuchet MS" w:cs="Times New Roman"/>
          <w:sz w:val="20"/>
          <w:szCs w:val="20"/>
          <w:lang w:eastAsia="sl-SI"/>
        </w:rPr>
      </w:pPr>
    </w:p>
    <w:p w:rsidR="00D915D9"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Ob upoštevanju gornjih ugotovitev predlagamo, da se za drugim odstavkom vstavi tretji odstavek, ki se glasil:</w:t>
      </w:r>
    </w:p>
    <w:p w:rsidR="00E50F74" w:rsidRPr="00D915D9"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 xml:space="preserve"> </w:t>
      </w:r>
      <w:r>
        <w:rPr>
          <w:rFonts w:ascii="Trebuchet MS" w:eastAsia="Times New Roman" w:hAnsi="Trebuchet MS" w:cs="Times New Roman"/>
          <w:b/>
          <w:sz w:val="20"/>
          <w:szCs w:val="20"/>
          <w:lang w:eastAsia="sl-SI"/>
        </w:rPr>
        <w:t xml:space="preserve">»Ne kaznuje se tisti, ki sicer izpolni znake kaznivega dejanja iz prvega in drugega odstavka tega člena, če se glede na vse okoliščine primera ugotovi, da je interes javnosti po seznanitvi s tajnimi podatki pomembnejši od javnega interesa po ohranitvi zaupnosti teh tajnih podatkov.«   </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Dosedanja tretji in četrti odstavek bi se v tem primeru preštevilčila v peti in šesti odstavek.</w:t>
      </w:r>
      <w:r>
        <w:rPr>
          <w:rFonts w:ascii="Trebuchet MS" w:eastAsia="Times New Roman" w:hAnsi="Trebuchet MS" w:cs="Times New Roman"/>
          <w:sz w:val="20"/>
          <w:szCs w:val="20"/>
          <w:lang w:eastAsia="sl-SI"/>
        </w:rPr>
        <w:br/>
      </w:r>
      <w:r>
        <w:rPr>
          <w:rFonts w:ascii="Trebuchet MS" w:eastAsia="Times New Roman" w:hAnsi="Trebuchet MS" w:cs="Times New Roman"/>
          <w:sz w:val="20"/>
          <w:szCs w:val="20"/>
          <w:lang w:eastAsia="sl-SI"/>
        </w:rPr>
        <w:br/>
      </w:r>
      <w:r>
        <w:rPr>
          <w:rFonts w:ascii="Trebuchet MS" w:eastAsia="Times New Roman" w:hAnsi="Trebuchet MS" w:cs="Times New Roman"/>
          <w:b/>
          <w:sz w:val="20"/>
          <w:szCs w:val="20"/>
          <w:lang w:eastAsia="sl-SI"/>
        </w:rPr>
        <w:t>Nujnost uvedbe testa javnega interesa:</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 xml:space="preserve">S predlogom, ki ste ga predstavili na seji odborov DZ za pravosodje in notranje zadeve, po katerem bi bila izdaja tajnih podatkov kazniva, razen v primeru, če je razkrivanje tajnih podatkov namenjeno obveščanju javnosti o protipravnih ravnanjih uslužbencev državnih organov, bi po našem mnenju pretirano omejili pravico do svobode izražanja. Protipravnosti razkritja tajnih podatkov namreč ne bi bilo le v enem, zgoraj opisanem primeru. Javnost pa bi imela morda tudi v drugih primerih upravičen interes, da se seznani z določenimi tajnimi podatki. </w:t>
      </w:r>
      <w:r>
        <w:rPr>
          <w:rFonts w:ascii="Trebuchet MS" w:hAnsi="Trebuchet MS"/>
          <w:sz w:val="20"/>
          <w:szCs w:val="20"/>
        </w:rPr>
        <w:t>Če ti podatki ne bi zelo prizadeli delovanja npr. obveščevalne službe, bi tehtanje kolidirajočih interesov zelo verjetno pripeljalo do ugotovitve, da je zaradi intenzivnejšega javnega interesa po obveščenosti razkritje tajnih podatkov dopustno in kazenski postopek bi se po merilih iz sodne prakse ESČP moral končati z oprostilno sodbo.</w:t>
      </w:r>
      <w:r>
        <w:rPr>
          <w:rFonts w:ascii="Trebuchet MS" w:eastAsia="Times New Roman" w:hAnsi="Trebuchet MS" w:cs="Times New Roman"/>
          <w:sz w:val="20"/>
          <w:szCs w:val="20"/>
          <w:lang w:eastAsia="sl-SI"/>
        </w:rPr>
        <w:t xml:space="preserve"> Vendar pa bi po predlogu ministrstva storilec z razkritjem takih podatkov storil kaznivo dejanje. </w:t>
      </w:r>
    </w:p>
    <w:p w:rsidR="00E50F74" w:rsidRDefault="00E50F74" w:rsidP="00E50F74">
      <w:pPr>
        <w:spacing w:after="0" w:line="360" w:lineRule="auto"/>
        <w:rPr>
          <w:rFonts w:ascii="Trebuchet MS" w:eastAsia="Times New Roman" w:hAnsi="Trebuchet MS" w:cs="Times New Roman"/>
          <w:sz w:val="20"/>
          <w:szCs w:val="20"/>
          <w:lang w:eastAsia="sl-SI"/>
        </w:rPr>
      </w:pPr>
    </w:p>
    <w:p w:rsidR="00E50F74" w:rsidRDefault="00E50F74" w:rsidP="00E50F74">
      <w:pPr>
        <w:spacing w:after="0" w:line="360" w:lineRule="auto"/>
        <w:rPr>
          <w:rFonts w:ascii="Trebuchet MS" w:hAnsi="Trebuchet MS"/>
          <w:sz w:val="20"/>
          <w:szCs w:val="20"/>
        </w:rPr>
      </w:pPr>
      <w:r>
        <w:rPr>
          <w:rFonts w:ascii="Trebuchet MS" w:hAnsi="Trebuchet MS"/>
          <w:sz w:val="20"/>
          <w:szCs w:val="20"/>
        </w:rPr>
        <w:t>Ob tem se pojavlja tudi vprašanje, kaj v neki zadevi je protipravno dejanje ali nepravilnost. Ali bodo sodišča zahtevala pravnomočno odločitev, ki bo potrdila neko protipravnost (nezakonitost) ali bodo v samem postopku to kot predhodno vprašanje obravnavala sama?  Problem bo nastal takrat, ko nekih protipravnih dejanj ne bo, zgodba bo pa še vedno v javnem interesu. V takšnem primeru bo novinar obsojen, kar pa je v nasprotju z 10. členom EKČP. V okviru pravice do svobode izražanja lahko družba namreč javno razpravlja tudi o zadevah in vprašanjih povezanih z delovanjem države in njenih organov, ki niso protipravna ali nepravilna, ampak so lahko zgolj družbeno nesprejemljiva. Še več, šele razprava lahko pripelje do tega, da se določena dejanja naknadno, ko družba ugotovi, da so nesprejemljiva, prek zakonodajalca določi kot protipravna. Ali obratno, kot v tem primeru, za katerega se zavzemamo, da se namreč določeno dejanje dekriminalizira.</w:t>
      </w: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 </w:t>
      </w: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 xml:space="preserve">Menimo, da predlog ministrstva za pravosodje glede na merila in standarde iz sodne prakse ESČP pretirano deprivilegira svobodo izražanja nasproti javnemu interesu, ki se kaže v potrebi po varstvu zaupnosti tajnih podatkov. Če bi na podlagi takega zakona slovenska sodišča obsodila novinarja, bi se lahko zgodilo, da bi bila Slovenija pred ESČP obsojena zaradi kršitve 10. člena EKČP, to je zaradi kršitve pravice do svobode izražanja. </w:t>
      </w:r>
    </w:p>
    <w:p w:rsidR="00E50F74" w:rsidRDefault="00E50F74" w:rsidP="00E50F74">
      <w:pPr>
        <w:spacing w:after="0" w:line="360" w:lineRule="auto"/>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 </w:t>
      </w:r>
    </w:p>
    <w:p w:rsidR="00E50F74" w:rsidRPr="00D915D9" w:rsidRDefault="00E50F74" w:rsidP="00E50F74">
      <w:pPr>
        <w:spacing w:after="0" w:line="360" w:lineRule="auto"/>
        <w:rPr>
          <w:rFonts w:ascii="Trebuchet MS" w:hAnsi="Trebuchet MS"/>
          <w:sz w:val="20"/>
          <w:szCs w:val="20"/>
        </w:rPr>
      </w:pPr>
      <w:r w:rsidRPr="00D915D9">
        <w:rPr>
          <w:rFonts w:ascii="Trebuchet MS" w:hAnsi="Trebuchet MS"/>
          <w:sz w:val="20"/>
          <w:szCs w:val="20"/>
        </w:rPr>
        <w:t>Pri pripravi predloga so sodelovali: Rok Čeferin, Nataša Pirc Musar, Jasna Zakonjšek, Alenka Šelih, Dragan Petrovec in Media Legal Defence Initiative (MLDI)</w:t>
      </w:r>
    </w:p>
    <w:p w:rsidR="00016779" w:rsidRDefault="00016779" w:rsidP="00016779">
      <w:pPr>
        <w:spacing w:after="0" w:line="360" w:lineRule="auto"/>
        <w:rPr>
          <w:rFonts w:ascii="Trebuchet MS" w:eastAsia="Times New Roman" w:hAnsi="Trebuchet MS"/>
          <w:b/>
          <w:bCs/>
          <w:color w:val="000000"/>
          <w:sz w:val="20"/>
          <w:szCs w:val="20"/>
          <w:lang w:eastAsia="sl-SI"/>
        </w:rPr>
      </w:pPr>
    </w:p>
    <w:sectPr w:rsidR="00016779" w:rsidSect="00D915D9">
      <w:headerReference w:type="default" r:id="rId8"/>
      <w:headerReference w:type="first" r:id="rId9"/>
      <w:pgSz w:w="11900" w:h="16840"/>
      <w:pgMar w:top="1418" w:right="851" w:bottom="851" w:left="1418" w:header="28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FD" w:rsidRDefault="006640FD">
      <w:pPr>
        <w:spacing w:line="240" w:lineRule="auto"/>
      </w:pPr>
      <w:r>
        <w:separator/>
      </w:r>
    </w:p>
  </w:endnote>
  <w:endnote w:type="continuationSeparator" w:id="0">
    <w:p w:rsidR="006640FD" w:rsidRDefault="0066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FD" w:rsidRDefault="006640FD">
      <w:pPr>
        <w:spacing w:line="240" w:lineRule="auto"/>
      </w:pPr>
      <w:r>
        <w:separator/>
      </w:r>
    </w:p>
  </w:footnote>
  <w:footnote w:type="continuationSeparator" w:id="0">
    <w:p w:rsidR="006640FD" w:rsidRDefault="006640FD">
      <w:pPr>
        <w:spacing w:line="240" w:lineRule="auto"/>
      </w:pPr>
      <w:r>
        <w:continuationSeparator/>
      </w:r>
    </w:p>
  </w:footnote>
  <w:footnote w:id="1">
    <w:p w:rsidR="00E50F74" w:rsidRDefault="00E50F74" w:rsidP="00E50F74">
      <w:pPr>
        <w:pStyle w:val="Footnote"/>
        <w:spacing w:after="0" w:line="240" w:lineRule="auto"/>
      </w:pPr>
      <w:r>
        <w:rPr>
          <w:sz w:val="18"/>
          <w:szCs w:val="18"/>
        </w:rPr>
        <w:footnoteRef/>
      </w:r>
      <w:r>
        <w:rPr>
          <w:sz w:val="18"/>
          <w:szCs w:val="18"/>
        </w:rPr>
        <w:t xml:space="preserve"> http://odlocitve.us-rs.si/sl/odlocitev/US29681</w:t>
      </w:r>
    </w:p>
  </w:footnote>
  <w:footnote w:id="2">
    <w:p w:rsidR="00E50F74" w:rsidRDefault="00E50F74" w:rsidP="00E50F74">
      <w:pPr>
        <w:pStyle w:val="Footnote"/>
      </w:pPr>
      <w:r>
        <w:rPr>
          <w:sz w:val="18"/>
          <w:szCs w:val="18"/>
        </w:rPr>
        <w:footnoteRef/>
      </w:r>
      <w:r w:rsidR="00D915D9">
        <w:rPr>
          <w:sz w:val="18"/>
          <w:szCs w:val="18"/>
        </w:rPr>
        <w:t xml:space="preserve"> </w:t>
      </w:r>
      <w:r>
        <w:rPr>
          <w:sz w:val="18"/>
          <w:szCs w:val="18"/>
        </w:rPr>
        <w:t xml:space="preserve"> ECtHR, </w:t>
      </w:r>
      <w:r>
        <w:rPr>
          <w:i/>
          <w:iCs/>
          <w:sz w:val="18"/>
          <w:szCs w:val="18"/>
        </w:rPr>
        <w:t>Stoll v. Switzerland</w:t>
      </w:r>
      <w:r>
        <w:rPr>
          <w:sz w:val="18"/>
          <w:szCs w:val="18"/>
        </w:rPr>
        <w:t xml:space="preserve">, Application No. 69698/01 (2007), </w:t>
      </w:r>
      <w:hyperlink r:id="rId1">
        <w:r>
          <w:rPr>
            <w:rStyle w:val="InternetLink"/>
            <w:sz w:val="18"/>
            <w:szCs w:val="18"/>
          </w:rPr>
          <w:t>http://hudoc.echr.coe.int/sites/eng/pages/search.aspx?i=001-83870</w:t>
        </w:r>
      </w:hyperlink>
      <w:r>
        <w:rPr>
          <w:sz w:val="18"/>
          <w:szCs w:val="18"/>
        </w:rPr>
        <w:t xml:space="preserve">, par. 39 and reaffirming ECtHR, </w:t>
      </w:r>
      <w:r>
        <w:rPr>
          <w:i/>
          <w:iCs/>
          <w:sz w:val="18"/>
          <w:szCs w:val="18"/>
        </w:rPr>
        <w:t>Goodwin v. UK</w:t>
      </w:r>
      <w:r>
        <w:rPr>
          <w:sz w:val="18"/>
          <w:szCs w:val="18"/>
        </w:rPr>
        <w:t xml:space="preserve">, Application No. 28957/95 (2002), </w:t>
      </w:r>
      <w:hyperlink r:id="rId2">
        <w:r>
          <w:rPr>
            <w:rStyle w:val="InternetLink"/>
            <w:sz w:val="18"/>
            <w:szCs w:val="18"/>
          </w:rPr>
          <w:t>http://hudoc.echr.coe.int/sites/eng/pages/search.aspx?i=001-60596</w:t>
        </w:r>
      </w:hyperlink>
      <w:r>
        <w:rPr>
          <w:sz w:val="18"/>
          <w:szCs w:val="18"/>
        </w:rPr>
        <w:t>, par. 39</w:t>
      </w:r>
    </w:p>
    <w:p w:rsidR="00E50F74" w:rsidRDefault="00E50F74" w:rsidP="00E50F74">
      <w:pPr>
        <w:pStyle w:val="Footnote"/>
      </w:pPr>
    </w:p>
  </w:footnote>
  <w:footnote w:id="3">
    <w:p w:rsidR="00E50F74" w:rsidRDefault="00E50F74" w:rsidP="00E50F74">
      <w:pPr>
        <w:pStyle w:val="Footnote"/>
      </w:pPr>
      <w:r>
        <w:rPr>
          <w:sz w:val="18"/>
          <w:szCs w:val="18"/>
        </w:rPr>
        <w:footnoteRef/>
      </w:r>
      <w:r w:rsidR="00D915D9">
        <w:rPr>
          <w:sz w:val="18"/>
          <w:szCs w:val="18"/>
        </w:rPr>
        <w:t xml:space="preserve"> </w:t>
      </w:r>
      <w:r>
        <w:rPr>
          <w:sz w:val="18"/>
          <w:szCs w:val="18"/>
        </w:rPr>
        <w:t xml:space="preserve">ECtHR, </w:t>
      </w:r>
      <w:r>
        <w:rPr>
          <w:i/>
          <w:iCs/>
          <w:sz w:val="18"/>
          <w:szCs w:val="18"/>
        </w:rPr>
        <w:t xml:space="preserve">Martin and others v. France, </w:t>
      </w:r>
      <w:r>
        <w:rPr>
          <w:sz w:val="18"/>
          <w:szCs w:val="18"/>
        </w:rPr>
        <w:t>Application No. 30002/08 (2012), http://hudoc.echr.coe.int/sites/eng-press/pages/search.aspx?i=003-3911691-4517517</w:t>
      </w:r>
    </w:p>
  </w:footnote>
  <w:footnote w:id="4">
    <w:p w:rsidR="00E50F74" w:rsidRPr="00D915D9" w:rsidRDefault="00E50F74" w:rsidP="00D915D9">
      <w:pPr>
        <w:pStyle w:val="FootnoteText"/>
        <w:spacing w:line="360" w:lineRule="auto"/>
        <w:rPr>
          <w:rFonts w:asciiTheme="minorHAnsi" w:hAnsiTheme="minorHAnsi"/>
          <w:sz w:val="18"/>
          <w:szCs w:val="18"/>
        </w:rPr>
      </w:pPr>
      <w:r w:rsidRPr="00D915D9">
        <w:rPr>
          <w:rStyle w:val="FootnoteReference"/>
          <w:rFonts w:asciiTheme="minorHAnsi" w:hAnsiTheme="minorHAnsi"/>
          <w:sz w:val="18"/>
          <w:szCs w:val="18"/>
        </w:rPr>
        <w:footnoteRef/>
      </w:r>
      <w:r w:rsidRPr="00D915D9">
        <w:rPr>
          <w:rFonts w:asciiTheme="minorHAnsi" w:hAnsiTheme="minorHAnsi"/>
          <w:sz w:val="18"/>
          <w:szCs w:val="18"/>
        </w:rPr>
        <w:t xml:space="preserve"> </w:t>
      </w:r>
      <w:hyperlink r:id="rId3" w:history="1">
        <w:r w:rsidRPr="00D915D9">
          <w:rPr>
            <w:rFonts w:asciiTheme="minorHAnsi" w:eastAsia="Times New Roman" w:hAnsiTheme="minorHAnsi" w:cs="Times New Roman"/>
            <w:color w:val="0000FF"/>
            <w:sz w:val="18"/>
            <w:szCs w:val="18"/>
            <w:u w:val="single"/>
            <w:lang w:eastAsia="sl-SI"/>
          </w:rPr>
          <w:t>http://www.oas.org/en/iachr/expression/showarticle.asp?artID=319&amp;lID=1</w:t>
        </w:r>
      </w:hyperlink>
    </w:p>
  </w:footnote>
  <w:footnote w:id="5">
    <w:p w:rsidR="00E50F74" w:rsidRPr="00D915D9" w:rsidRDefault="00E50F74" w:rsidP="00D915D9">
      <w:pPr>
        <w:suppressAutoHyphens w:val="0"/>
        <w:spacing w:after="0" w:line="360" w:lineRule="auto"/>
        <w:rPr>
          <w:rFonts w:asciiTheme="minorHAnsi" w:eastAsia="Times New Roman" w:hAnsiTheme="minorHAnsi" w:cs="Times New Roman"/>
          <w:sz w:val="18"/>
          <w:szCs w:val="18"/>
          <w:lang w:eastAsia="sl-SI"/>
        </w:rPr>
      </w:pPr>
      <w:r w:rsidRPr="00D915D9">
        <w:rPr>
          <w:rStyle w:val="FootnoteReference"/>
          <w:rFonts w:asciiTheme="minorHAnsi" w:hAnsiTheme="minorHAnsi"/>
          <w:sz w:val="18"/>
          <w:szCs w:val="18"/>
        </w:rPr>
        <w:footnoteRef/>
      </w:r>
      <w:r w:rsidRPr="00D915D9">
        <w:rPr>
          <w:rFonts w:asciiTheme="minorHAnsi" w:hAnsiTheme="minorHAnsi"/>
          <w:sz w:val="18"/>
          <w:szCs w:val="18"/>
        </w:rPr>
        <w:t xml:space="preserve"> </w:t>
      </w:r>
      <w:r w:rsidRPr="00D915D9">
        <w:rPr>
          <w:rFonts w:asciiTheme="minorHAnsi" w:eastAsia="Times New Roman" w:hAnsiTheme="minorHAnsi" w:cs="Times New Roman"/>
          <w:sz w:val="18"/>
          <w:szCs w:val="18"/>
          <w:lang w:eastAsia="sl-SI"/>
        </w:rPr>
        <w:t>http://www.opensocietyfoundations.org/publications/global-principles-national-security-and-freedom-information-tshwane-principles</w:t>
      </w:r>
    </w:p>
    <w:p w:rsidR="00E50F74" w:rsidRDefault="00E50F74" w:rsidP="00D915D9">
      <w:pPr>
        <w:pStyle w:val="FootnoteText"/>
        <w:spacing w:line="36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00" w:rsidRPr="009524C8" w:rsidRDefault="00E50F74" w:rsidP="00932011">
    <w:pPr>
      <w:pStyle w:val="Header"/>
      <w:ind w:hanging="1134"/>
    </w:pPr>
    <w:r>
      <w:rPr>
        <w:noProof/>
        <w:lang w:eastAsia="sl-SI"/>
      </w:rPr>
      <w:drawing>
        <wp:inline distT="0" distB="0" distL="0" distR="0" wp14:anchorId="43D3975F" wp14:editId="2762DE8C">
          <wp:extent cx="7200900" cy="295275"/>
          <wp:effectExtent l="0" t="0" r="0" b="9525"/>
          <wp:docPr id="1" name="Picture 1" descr="GLAVE_outlines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E_outlines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295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00" w:rsidRPr="006C71FF" w:rsidRDefault="00E50F74" w:rsidP="002072EB">
    <w:pPr>
      <w:pStyle w:val="Header"/>
      <w:ind w:hanging="1134"/>
    </w:pPr>
    <w:r>
      <w:rPr>
        <w:noProof/>
        <w:lang w:eastAsia="sl-SI"/>
      </w:rPr>
      <w:drawing>
        <wp:inline distT="0" distB="0" distL="0" distR="0" wp14:anchorId="17005BD5" wp14:editId="03CFABFC">
          <wp:extent cx="7181850" cy="923925"/>
          <wp:effectExtent l="0" t="0" r="0" b="9525"/>
          <wp:docPr id="2" name="Picture 2" descr="GLAVE_outli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E_outlines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923925"/>
                  </a:xfrm>
                  <a:prstGeom prst="rect">
                    <a:avLst/>
                  </a:prstGeom>
                  <a:noFill/>
                  <a:ln>
                    <a:noFill/>
                  </a:ln>
                </pic:spPr>
              </pic:pic>
            </a:graphicData>
          </a:graphic>
        </wp:inline>
      </w:drawing>
    </w:r>
    <w:r>
      <w:rPr>
        <w:noProof/>
        <w:lang w:eastAsia="sl-SI"/>
      </w:rPr>
      <mc:AlternateContent>
        <mc:Choice Requires="wps">
          <w:drawing>
            <wp:anchor distT="4294967295" distB="4294967295" distL="114300" distR="114300" simplePos="0" relativeHeight="251657728" behindDoc="0" locked="0" layoutInCell="1" allowOverlap="1" wp14:anchorId="51059F76" wp14:editId="5FC3658E">
              <wp:simplePos x="0" y="0"/>
              <wp:positionH relativeFrom="page">
                <wp:posOffset>180340</wp:posOffset>
              </wp:positionH>
              <wp:positionV relativeFrom="page">
                <wp:posOffset>3600449</wp:posOffset>
              </wp:positionV>
              <wp:extent cx="360045" cy="0"/>
              <wp:effectExtent l="0" t="0" r="20955" b="19050"/>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810">
                        <a:solidFill>
                          <a:srgbClr val="AEAA6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83.5pt" to="4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" strokecolor="#aeaa6c" strokeweight=".3pt">
              <v:shadow color="black" opacity="22938f" offset="0"/>
              <w10:wrap type="topAndBottom"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E07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eaa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74"/>
    <w:rsid w:val="00016779"/>
    <w:rsid w:val="000501F4"/>
    <w:rsid w:val="00056AD0"/>
    <w:rsid w:val="00063E49"/>
    <w:rsid w:val="001916F9"/>
    <w:rsid w:val="001D6F79"/>
    <w:rsid w:val="002072EB"/>
    <w:rsid w:val="00215456"/>
    <w:rsid w:val="002B7CB7"/>
    <w:rsid w:val="002E1FC7"/>
    <w:rsid w:val="00320F60"/>
    <w:rsid w:val="0033669C"/>
    <w:rsid w:val="003B3D42"/>
    <w:rsid w:val="004137E6"/>
    <w:rsid w:val="0042472D"/>
    <w:rsid w:val="00442D0C"/>
    <w:rsid w:val="00447B97"/>
    <w:rsid w:val="004601A7"/>
    <w:rsid w:val="00460D35"/>
    <w:rsid w:val="004839C3"/>
    <w:rsid w:val="004A32CE"/>
    <w:rsid w:val="004E571B"/>
    <w:rsid w:val="00505FBE"/>
    <w:rsid w:val="005078D0"/>
    <w:rsid w:val="00530ABE"/>
    <w:rsid w:val="00545EC7"/>
    <w:rsid w:val="005F6E3F"/>
    <w:rsid w:val="00656B99"/>
    <w:rsid w:val="006640FD"/>
    <w:rsid w:val="006C71FF"/>
    <w:rsid w:val="00764B59"/>
    <w:rsid w:val="007864A3"/>
    <w:rsid w:val="00793C08"/>
    <w:rsid w:val="007A3D83"/>
    <w:rsid w:val="007A5085"/>
    <w:rsid w:val="007B3B53"/>
    <w:rsid w:val="00820503"/>
    <w:rsid w:val="00850EFC"/>
    <w:rsid w:val="008602D0"/>
    <w:rsid w:val="008C0095"/>
    <w:rsid w:val="008E3109"/>
    <w:rsid w:val="008F0487"/>
    <w:rsid w:val="00932011"/>
    <w:rsid w:val="009502BF"/>
    <w:rsid w:val="009524C8"/>
    <w:rsid w:val="009B02D3"/>
    <w:rsid w:val="009B423D"/>
    <w:rsid w:val="009C5224"/>
    <w:rsid w:val="00A77550"/>
    <w:rsid w:val="00AD022C"/>
    <w:rsid w:val="00AF2F0D"/>
    <w:rsid w:val="00B53A8A"/>
    <w:rsid w:val="00B735E3"/>
    <w:rsid w:val="00B87F86"/>
    <w:rsid w:val="00B952C1"/>
    <w:rsid w:val="00BD073E"/>
    <w:rsid w:val="00BD344B"/>
    <w:rsid w:val="00BF10C3"/>
    <w:rsid w:val="00C04534"/>
    <w:rsid w:val="00C05BA5"/>
    <w:rsid w:val="00C42A5C"/>
    <w:rsid w:val="00D62000"/>
    <w:rsid w:val="00D915D9"/>
    <w:rsid w:val="00DC06C0"/>
    <w:rsid w:val="00DD28D8"/>
    <w:rsid w:val="00DD3E77"/>
    <w:rsid w:val="00DD7F64"/>
    <w:rsid w:val="00E10914"/>
    <w:rsid w:val="00E215E5"/>
    <w:rsid w:val="00E50F74"/>
    <w:rsid w:val="00EB4958"/>
    <w:rsid w:val="00EB54B4"/>
    <w:rsid w:val="00ED431F"/>
    <w:rsid w:val="00F101E2"/>
    <w:rsid w:val="00F81846"/>
    <w:rsid w:val="00FC25E7"/>
    <w:rsid w:val="00FD1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eaa6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74"/>
    <w:pPr>
      <w:suppressAutoHyphens/>
      <w:spacing w:after="200" w:line="276"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951D7E"/>
    <w:pPr>
      <w:suppressAutoHyphens w:val="0"/>
    </w:pPr>
    <w:rPr>
      <w:rFonts w:cs="Times New Roman"/>
      <w:b/>
    </w:rPr>
  </w:style>
  <w:style w:type="paragraph" w:customStyle="1" w:styleId="dopis">
    <w:name w:val="dopis"/>
    <w:basedOn w:val="Normal"/>
    <w:qFormat/>
    <w:rsid w:val="00951D7E"/>
    <w:pPr>
      <w:suppressAutoHyphens w:val="0"/>
      <w:jc w:val="both"/>
    </w:pPr>
    <w:rPr>
      <w:rFonts w:cs="Times New Roman"/>
    </w:rPr>
  </w:style>
  <w:style w:type="paragraph" w:customStyle="1" w:styleId="NASLOV">
    <w:name w:val="NASLOV"/>
    <w:basedOn w:val="Normal"/>
    <w:qFormat/>
    <w:rsid w:val="00D560F6"/>
    <w:pPr>
      <w:suppressAutoHyphens w:val="0"/>
      <w:spacing w:line="240" w:lineRule="auto"/>
      <w:ind w:left="-1701"/>
    </w:pPr>
    <w:rPr>
      <w:rFonts w:cs="Times New Roman"/>
      <w:b/>
      <w:color w:val="00A0B1"/>
      <w:sz w:val="30"/>
    </w:rPr>
  </w:style>
  <w:style w:type="paragraph" w:customStyle="1" w:styleId="DATUM">
    <w:name w:val="DATUM"/>
    <w:basedOn w:val="Normal"/>
    <w:qFormat/>
    <w:rsid w:val="00D560F6"/>
    <w:pPr>
      <w:suppressAutoHyphens w:val="0"/>
      <w:spacing w:line="240" w:lineRule="auto"/>
      <w:ind w:left="-1701"/>
    </w:pPr>
    <w:rPr>
      <w:rFonts w:cs="Times New Roman"/>
      <w:color w:val="00A0B1"/>
      <w:sz w:val="28"/>
    </w:rPr>
  </w:style>
  <w:style w:type="paragraph" w:styleId="Header">
    <w:name w:val="header"/>
    <w:basedOn w:val="Normal"/>
    <w:link w:val="HeaderChar"/>
    <w:uiPriority w:val="99"/>
    <w:unhideWhenUsed/>
    <w:rsid w:val="006C71FF"/>
    <w:pPr>
      <w:tabs>
        <w:tab w:val="center" w:pos="4320"/>
        <w:tab w:val="right" w:pos="8640"/>
      </w:tabs>
      <w:suppressAutoHyphens w:val="0"/>
      <w:spacing w:line="240" w:lineRule="auto"/>
    </w:pPr>
    <w:rPr>
      <w:rFonts w:cs="Times New Roman"/>
    </w:rPr>
  </w:style>
  <w:style w:type="character" w:customStyle="1" w:styleId="HeaderChar">
    <w:name w:val="Header Char"/>
    <w:link w:val="Header"/>
    <w:uiPriority w:val="99"/>
    <w:rsid w:val="006C71FF"/>
    <w:rPr>
      <w:rFonts w:ascii="Verdana" w:hAnsi="Verdana" w:cs="Times New Roman"/>
      <w:szCs w:val="24"/>
    </w:rPr>
  </w:style>
  <w:style w:type="paragraph" w:styleId="Footer">
    <w:name w:val="footer"/>
    <w:basedOn w:val="Normal"/>
    <w:link w:val="FooterChar"/>
    <w:uiPriority w:val="99"/>
    <w:unhideWhenUsed/>
    <w:rsid w:val="006C71FF"/>
    <w:pPr>
      <w:tabs>
        <w:tab w:val="center" w:pos="4320"/>
        <w:tab w:val="right" w:pos="8640"/>
      </w:tabs>
      <w:suppressAutoHyphens w:val="0"/>
      <w:spacing w:line="240" w:lineRule="auto"/>
    </w:pPr>
    <w:rPr>
      <w:rFonts w:cs="Times New Roman"/>
    </w:rPr>
  </w:style>
  <w:style w:type="character" w:customStyle="1" w:styleId="FooterChar">
    <w:name w:val="Footer Char"/>
    <w:link w:val="Footer"/>
    <w:uiPriority w:val="99"/>
    <w:rsid w:val="006C71FF"/>
    <w:rPr>
      <w:rFonts w:ascii="Verdana" w:hAnsi="Verdana" w:cs="Times New Roman"/>
      <w:szCs w:val="24"/>
    </w:rPr>
  </w:style>
  <w:style w:type="table" w:styleId="TableGrid">
    <w:name w:val="Table Grid"/>
    <w:basedOn w:val="TableNormal"/>
    <w:uiPriority w:val="59"/>
    <w:rsid w:val="00067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24C8"/>
    <w:pPr>
      <w:suppressAutoHyphens w:val="0"/>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524C8"/>
    <w:rPr>
      <w:rFonts w:ascii="Lucida Grande" w:hAnsi="Lucida Grande" w:cs="Lucida Grande"/>
      <w:sz w:val="18"/>
      <w:szCs w:val="18"/>
    </w:rPr>
  </w:style>
  <w:style w:type="paragraph" w:styleId="BodyText">
    <w:name w:val="Body Text"/>
    <w:basedOn w:val="Normal"/>
    <w:rsid w:val="00C42A5C"/>
    <w:pPr>
      <w:shd w:val="clear" w:color="auto" w:fill="FFFFFF"/>
      <w:suppressAutoHyphens w:val="0"/>
      <w:spacing w:before="100" w:beforeAutospacing="1" w:after="100" w:afterAutospacing="1" w:line="360" w:lineRule="auto"/>
      <w:ind w:right="1440"/>
      <w:jc w:val="both"/>
    </w:pPr>
    <w:rPr>
      <w:rFonts w:ascii="Tahoma" w:hAnsi="Tahoma" w:cs="Tahoma"/>
      <w:color w:val="222222"/>
      <w:sz w:val="24"/>
      <w:szCs w:val="20"/>
      <w:lang w:eastAsia="sl-SI"/>
    </w:rPr>
  </w:style>
  <w:style w:type="paragraph" w:styleId="NormalWeb">
    <w:name w:val="Normal (Web)"/>
    <w:basedOn w:val="Normal"/>
    <w:rsid w:val="001D6F79"/>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otnoteAnchor">
    <w:name w:val="Footnote Anchor"/>
    <w:rsid w:val="00E50F74"/>
    <w:rPr>
      <w:vertAlign w:val="superscript"/>
    </w:rPr>
  </w:style>
  <w:style w:type="character" w:customStyle="1" w:styleId="InternetLink">
    <w:name w:val="Internet Link"/>
    <w:rsid w:val="00E50F74"/>
    <w:rPr>
      <w:color w:val="000080"/>
      <w:u w:val="single"/>
    </w:rPr>
  </w:style>
  <w:style w:type="paragraph" w:customStyle="1" w:styleId="Footnote">
    <w:name w:val="Footnote"/>
    <w:basedOn w:val="Normal"/>
    <w:rsid w:val="00E50F74"/>
  </w:style>
  <w:style w:type="character" w:customStyle="1" w:styleId="st">
    <w:name w:val="st"/>
    <w:rsid w:val="00E50F74"/>
  </w:style>
  <w:style w:type="character" w:styleId="Emphasis">
    <w:name w:val="Emphasis"/>
    <w:uiPriority w:val="20"/>
    <w:qFormat/>
    <w:rsid w:val="00E50F74"/>
    <w:rPr>
      <w:i/>
      <w:iCs/>
    </w:rPr>
  </w:style>
  <w:style w:type="paragraph" w:styleId="FootnoteText">
    <w:name w:val="footnote text"/>
    <w:basedOn w:val="Normal"/>
    <w:link w:val="FootnoteTextChar"/>
    <w:uiPriority w:val="99"/>
    <w:semiHidden/>
    <w:unhideWhenUsed/>
    <w:rsid w:val="00E50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74"/>
    <w:rPr>
      <w:rFonts w:ascii="Calibri" w:eastAsia="Calibri" w:hAnsi="Calibri" w:cs="Calibri"/>
      <w:lang w:eastAsia="en-US"/>
    </w:rPr>
  </w:style>
  <w:style w:type="character" w:styleId="FootnoteReference">
    <w:name w:val="footnote reference"/>
    <w:uiPriority w:val="99"/>
    <w:semiHidden/>
    <w:unhideWhenUsed/>
    <w:rsid w:val="00E50F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74"/>
    <w:pPr>
      <w:suppressAutoHyphens/>
      <w:spacing w:after="200" w:line="276" w:lineRule="auto"/>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951D7E"/>
    <w:pPr>
      <w:suppressAutoHyphens w:val="0"/>
    </w:pPr>
    <w:rPr>
      <w:rFonts w:cs="Times New Roman"/>
      <w:b/>
    </w:rPr>
  </w:style>
  <w:style w:type="paragraph" w:customStyle="1" w:styleId="dopis">
    <w:name w:val="dopis"/>
    <w:basedOn w:val="Normal"/>
    <w:qFormat/>
    <w:rsid w:val="00951D7E"/>
    <w:pPr>
      <w:suppressAutoHyphens w:val="0"/>
      <w:jc w:val="both"/>
    </w:pPr>
    <w:rPr>
      <w:rFonts w:cs="Times New Roman"/>
    </w:rPr>
  </w:style>
  <w:style w:type="paragraph" w:customStyle="1" w:styleId="NASLOV">
    <w:name w:val="NASLOV"/>
    <w:basedOn w:val="Normal"/>
    <w:qFormat/>
    <w:rsid w:val="00D560F6"/>
    <w:pPr>
      <w:suppressAutoHyphens w:val="0"/>
      <w:spacing w:line="240" w:lineRule="auto"/>
      <w:ind w:left="-1701"/>
    </w:pPr>
    <w:rPr>
      <w:rFonts w:cs="Times New Roman"/>
      <w:b/>
      <w:color w:val="00A0B1"/>
      <w:sz w:val="30"/>
    </w:rPr>
  </w:style>
  <w:style w:type="paragraph" w:customStyle="1" w:styleId="DATUM">
    <w:name w:val="DATUM"/>
    <w:basedOn w:val="Normal"/>
    <w:qFormat/>
    <w:rsid w:val="00D560F6"/>
    <w:pPr>
      <w:suppressAutoHyphens w:val="0"/>
      <w:spacing w:line="240" w:lineRule="auto"/>
      <w:ind w:left="-1701"/>
    </w:pPr>
    <w:rPr>
      <w:rFonts w:cs="Times New Roman"/>
      <w:color w:val="00A0B1"/>
      <w:sz w:val="28"/>
    </w:rPr>
  </w:style>
  <w:style w:type="paragraph" w:styleId="Header">
    <w:name w:val="header"/>
    <w:basedOn w:val="Normal"/>
    <w:link w:val="HeaderChar"/>
    <w:uiPriority w:val="99"/>
    <w:unhideWhenUsed/>
    <w:rsid w:val="006C71FF"/>
    <w:pPr>
      <w:tabs>
        <w:tab w:val="center" w:pos="4320"/>
        <w:tab w:val="right" w:pos="8640"/>
      </w:tabs>
      <w:suppressAutoHyphens w:val="0"/>
      <w:spacing w:line="240" w:lineRule="auto"/>
    </w:pPr>
    <w:rPr>
      <w:rFonts w:cs="Times New Roman"/>
    </w:rPr>
  </w:style>
  <w:style w:type="character" w:customStyle="1" w:styleId="HeaderChar">
    <w:name w:val="Header Char"/>
    <w:link w:val="Header"/>
    <w:uiPriority w:val="99"/>
    <w:rsid w:val="006C71FF"/>
    <w:rPr>
      <w:rFonts w:ascii="Verdana" w:hAnsi="Verdana" w:cs="Times New Roman"/>
      <w:szCs w:val="24"/>
    </w:rPr>
  </w:style>
  <w:style w:type="paragraph" w:styleId="Footer">
    <w:name w:val="footer"/>
    <w:basedOn w:val="Normal"/>
    <w:link w:val="FooterChar"/>
    <w:uiPriority w:val="99"/>
    <w:unhideWhenUsed/>
    <w:rsid w:val="006C71FF"/>
    <w:pPr>
      <w:tabs>
        <w:tab w:val="center" w:pos="4320"/>
        <w:tab w:val="right" w:pos="8640"/>
      </w:tabs>
      <w:suppressAutoHyphens w:val="0"/>
      <w:spacing w:line="240" w:lineRule="auto"/>
    </w:pPr>
    <w:rPr>
      <w:rFonts w:cs="Times New Roman"/>
    </w:rPr>
  </w:style>
  <w:style w:type="character" w:customStyle="1" w:styleId="FooterChar">
    <w:name w:val="Footer Char"/>
    <w:link w:val="Footer"/>
    <w:uiPriority w:val="99"/>
    <w:rsid w:val="006C71FF"/>
    <w:rPr>
      <w:rFonts w:ascii="Verdana" w:hAnsi="Verdana" w:cs="Times New Roman"/>
      <w:szCs w:val="24"/>
    </w:rPr>
  </w:style>
  <w:style w:type="table" w:styleId="TableGrid">
    <w:name w:val="Table Grid"/>
    <w:basedOn w:val="TableNormal"/>
    <w:uiPriority w:val="59"/>
    <w:rsid w:val="00067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24C8"/>
    <w:pPr>
      <w:suppressAutoHyphens w:val="0"/>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524C8"/>
    <w:rPr>
      <w:rFonts w:ascii="Lucida Grande" w:hAnsi="Lucida Grande" w:cs="Lucida Grande"/>
      <w:sz w:val="18"/>
      <w:szCs w:val="18"/>
    </w:rPr>
  </w:style>
  <w:style w:type="paragraph" w:styleId="BodyText">
    <w:name w:val="Body Text"/>
    <w:basedOn w:val="Normal"/>
    <w:rsid w:val="00C42A5C"/>
    <w:pPr>
      <w:shd w:val="clear" w:color="auto" w:fill="FFFFFF"/>
      <w:suppressAutoHyphens w:val="0"/>
      <w:spacing w:before="100" w:beforeAutospacing="1" w:after="100" w:afterAutospacing="1" w:line="360" w:lineRule="auto"/>
      <w:ind w:right="1440"/>
      <w:jc w:val="both"/>
    </w:pPr>
    <w:rPr>
      <w:rFonts w:ascii="Tahoma" w:hAnsi="Tahoma" w:cs="Tahoma"/>
      <w:color w:val="222222"/>
      <w:sz w:val="24"/>
      <w:szCs w:val="20"/>
      <w:lang w:eastAsia="sl-SI"/>
    </w:rPr>
  </w:style>
  <w:style w:type="paragraph" w:styleId="NormalWeb">
    <w:name w:val="Normal (Web)"/>
    <w:basedOn w:val="Normal"/>
    <w:rsid w:val="001D6F79"/>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otnoteAnchor">
    <w:name w:val="Footnote Anchor"/>
    <w:rsid w:val="00E50F74"/>
    <w:rPr>
      <w:vertAlign w:val="superscript"/>
    </w:rPr>
  </w:style>
  <w:style w:type="character" w:customStyle="1" w:styleId="InternetLink">
    <w:name w:val="Internet Link"/>
    <w:rsid w:val="00E50F74"/>
    <w:rPr>
      <w:color w:val="000080"/>
      <w:u w:val="single"/>
    </w:rPr>
  </w:style>
  <w:style w:type="paragraph" w:customStyle="1" w:styleId="Footnote">
    <w:name w:val="Footnote"/>
    <w:basedOn w:val="Normal"/>
    <w:rsid w:val="00E50F74"/>
  </w:style>
  <w:style w:type="character" w:customStyle="1" w:styleId="st">
    <w:name w:val="st"/>
    <w:rsid w:val="00E50F74"/>
  </w:style>
  <w:style w:type="character" w:styleId="Emphasis">
    <w:name w:val="Emphasis"/>
    <w:uiPriority w:val="20"/>
    <w:qFormat/>
    <w:rsid w:val="00E50F74"/>
    <w:rPr>
      <w:i/>
      <w:iCs/>
    </w:rPr>
  </w:style>
  <w:style w:type="paragraph" w:styleId="FootnoteText">
    <w:name w:val="footnote text"/>
    <w:basedOn w:val="Normal"/>
    <w:link w:val="FootnoteTextChar"/>
    <w:uiPriority w:val="99"/>
    <w:semiHidden/>
    <w:unhideWhenUsed/>
    <w:rsid w:val="00E50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74"/>
    <w:rPr>
      <w:rFonts w:ascii="Calibri" w:eastAsia="Calibri" w:hAnsi="Calibri" w:cs="Calibri"/>
      <w:lang w:eastAsia="en-US"/>
    </w:rPr>
  </w:style>
  <w:style w:type="character" w:styleId="FootnoteReference">
    <w:name w:val="footnote reference"/>
    <w:uiPriority w:val="99"/>
    <w:semiHidden/>
    <w:unhideWhenUsed/>
    <w:rsid w:val="00E50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2397">
      <w:bodyDiv w:val="1"/>
      <w:marLeft w:val="0"/>
      <w:marRight w:val="0"/>
      <w:marTop w:val="0"/>
      <w:marBottom w:val="0"/>
      <w:divBdr>
        <w:top w:val="none" w:sz="0" w:space="0" w:color="auto"/>
        <w:left w:val="none" w:sz="0" w:space="0" w:color="auto"/>
        <w:bottom w:val="none" w:sz="0" w:space="0" w:color="auto"/>
        <w:right w:val="none" w:sz="0" w:space="0" w:color="auto"/>
      </w:divBdr>
    </w:div>
    <w:div w:id="710960650">
      <w:bodyDiv w:val="1"/>
      <w:marLeft w:val="0"/>
      <w:marRight w:val="0"/>
      <w:marTop w:val="0"/>
      <w:marBottom w:val="0"/>
      <w:divBdr>
        <w:top w:val="none" w:sz="0" w:space="0" w:color="auto"/>
        <w:left w:val="none" w:sz="0" w:space="0" w:color="auto"/>
        <w:bottom w:val="none" w:sz="0" w:space="0" w:color="auto"/>
        <w:right w:val="none" w:sz="0" w:space="0" w:color="auto"/>
      </w:divBdr>
    </w:div>
    <w:div w:id="915822623">
      <w:bodyDiv w:val="1"/>
      <w:marLeft w:val="0"/>
      <w:marRight w:val="0"/>
      <w:marTop w:val="0"/>
      <w:marBottom w:val="0"/>
      <w:divBdr>
        <w:top w:val="none" w:sz="0" w:space="0" w:color="auto"/>
        <w:left w:val="none" w:sz="0" w:space="0" w:color="auto"/>
        <w:bottom w:val="none" w:sz="0" w:space="0" w:color="auto"/>
        <w:right w:val="none" w:sz="0" w:space="0" w:color="auto"/>
      </w:divBdr>
    </w:div>
    <w:div w:id="1605654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expression/showarticle.asp?artID=319&amp;lID=1" TargetMode="External"/><Relationship Id="rId2" Type="http://schemas.openxmlformats.org/officeDocument/2006/relationships/hyperlink" Target="http://hudoc.echr.coe.int/sites/eng/pages/search.aspx?i=001-60596" TargetMode="External"/><Relationship Id="rId1" Type="http://schemas.openxmlformats.org/officeDocument/2006/relationships/hyperlink" Target="http://hudoc.echr.coe.int/sites/eng/pages/search.aspx?i=001-83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ni\AppData\Roaming\Microsoft\Templates\glava_D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glava_DNS</Template>
  <TotalTime>24</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[Naslovnik]</vt:lpstr>
    </vt:vector>
  </TitlesOfParts>
  <Company>GIGO</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[Naslovnik]</dc:title>
  <dc:creator>generalni</dc:creator>
  <cp:lastModifiedBy>generalni</cp:lastModifiedBy>
  <cp:revision>4</cp:revision>
  <cp:lastPrinted>2014-07-03T13:11:00Z</cp:lastPrinted>
  <dcterms:created xsi:type="dcterms:W3CDTF">2015-03-12T10:16:00Z</dcterms:created>
  <dcterms:modified xsi:type="dcterms:W3CDTF">2015-03-16T11:45:00Z</dcterms:modified>
</cp:coreProperties>
</file>